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3487"/>
        <w:gridCol w:w="1177"/>
        <w:gridCol w:w="3548"/>
        <w:gridCol w:w="1075"/>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gridSpan w:val="2"/>
            <w:tcBorders>
              <w:top w:val="single" w:color="auto" w:sz="18" w:space="0"/>
              <w:left w:val="single" w:color="auto" w:sz="18" w:space="0"/>
              <w:bottom w:val="single" w:color="auto" w:sz="18" w:space="0"/>
              <w:right w:val="single" w:color="auto" w:sz="18" w:space="0"/>
            </w:tcBorders>
          </w:tcPr>
          <w:p>
            <w:pPr>
              <w:widowControl w:val="0"/>
              <w:jc w:val="center"/>
              <w:rPr>
                <w:rFonts w:hint="default" w:ascii="Times New Roman" w:hAnsi="Times New Roman" w:cs="Times New Roman" w:eastAsiaTheme="minorEastAsia"/>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CUSTOMER INFORMATION</w:t>
            </w:r>
          </w:p>
        </w:tc>
        <w:tc>
          <w:tcPr>
            <w:tcW w:w="4725" w:type="dxa"/>
            <w:gridSpan w:val="2"/>
            <w:tcBorders>
              <w:top w:val="single" w:color="auto" w:sz="18" w:space="0"/>
              <w:left w:val="single" w:color="auto" w:sz="18" w:space="0"/>
              <w:bottom w:val="single" w:color="auto" w:sz="18" w:space="0"/>
              <w:right w:val="single" w:color="auto" w:sz="18" w:space="0"/>
            </w:tcBorders>
          </w:tcPr>
          <w:p>
            <w:pPr>
              <w:widowControl w:val="0"/>
              <w:jc w:val="center"/>
              <w:rPr>
                <w:rFonts w:hint="default" w:ascii="Times New Roman" w:hAnsi="Times New Roman" w:cs="Times New Roman" w:eastAsiaTheme="minorEastAsia"/>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REPORT TO</w:t>
            </w:r>
          </w:p>
        </w:tc>
        <w:tc>
          <w:tcPr>
            <w:tcW w:w="4725" w:type="dxa"/>
            <w:gridSpan w:val="2"/>
            <w:tcBorders>
              <w:top w:val="single" w:color="auto" w:sz="18" w:space="0"/>
              <w:left w:val="single" w:color="auto" w:sz="18" w:space="0"/>
              <w:bottom w:val="single" w:color="auto" w:sz="18" w:space="0"/>
              <w:right w:val="single" w:color="auto" w:sz="18" w:space="0"/>
            </w:tcBorders>
          </w:tcPr>
          <w:p>
            <w:pPr>
              <w:widowControl w:val="0"/>
              <w:jc w:val="center"/>
              <w:rPr>
                <w:rFonts w:hint="default" w:ascii="Times New Roman" w:hAnsi="Times New Roman" w:cs="Times New Roman" w:eastAsiaTheme="minorEastAsia"/>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INVOICE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7" w:type="dxa"/>
            <w:tcBorders>
              <w:top w:val="single" w:color="auto" w:sz="18" w:space="0"/>
              <w:left w:val="single" w:color="auto" w:sz="18" w:space="0"/>
              <w:bottom w:val="single" w:color="auto" w:sz="4"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Company </w:t>
            </w:r>
          </w:p>
        </w:tc>
        <w:tc>
          <w:tcPr>
            <w:tcW w:w="3487" w:type="dxa"/>
            <w:tcBorders>
              <w:top w:val="single" w:color="auto" w:sz="18" w:space="0"/>
              <w:left w:val="single" w:color="000000" w:sz="18" w:space="0"/>
              <w:bottom w:val="single" w:color="auto" w:sz="4" w:space="0"/>
              <w:right w:val="single" w:color="auto" w:sz="18" w:space="0"/>
            </w:tcBorders>
          </w:tcPr>
          <w:p>
            <w:pPr>
              <w:widowControl w:val="0"/>
              <w:jc w:val="both"/>
              <w:rPr>
                <w:rFonts w:hint="default" w:eastAsiaTheme="minorEastAsia"/>
                <w:vertAlign w:val="baseline"/>
                <w:lang w:val="en-US" w:eastAsia="zh-CN"/>
              </w:rPr>
            </w:pPr>
          </w:p>
        </w:tc>
        <w:tc>
          <w:tcPr>
            <w:tcW w:w="1177" w:type="dxa"/>
            <w:tcBorders>
              <w:top w:val="single" w:color="auto" w:sz="18" w:space="0"/>
              <w:left w:val="single" w:color="auto" w:sz="18" w:space="0"/>
              <w:bottom w:val="single" w:color="auto" w:sz="4"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Attn</w:t>
            </w:r>
          </w:p>
        </w:tc>
        <w:tc>
          <w:tcPr>
            <w:tcW w:w="3548" w:type="dxa"/>
            <w:tcBorders>
              <w:top w:val="single" w:color="auto" w:sz="18" w:space="0"/>
              <w:left w:val="single" w:color="000000" w:sz="18" w:space="0"/>
              <w:bottom w:val="single" w:color="auto" w:sz="4" w:space="0"/>
              <w:right w:val="single" w:color="auto" w:sz="18" w:space="0"/>
            </w:tcBorders>
          </w:tcPr>
          <w:p>
            <w:pPr>
              <w:widowControl w:val="0"/>
              <w:jc w:val="both"/>
              <w:rPr>
                <w:rFonts w:hint="default" w:eastAsiaTheme="minorEastAsia"/>
                <w:vertAlign w:val="baseline"/>
                <w:lang w:val="en-US" w:eastAsia="zh-CN"/>
              </w:rPr>
            </w:pPr>
          </w:p>
        </w:tc>
        <w:tc>
          <w:tcPr>
            <w:tcW w:w="1075" w:type="dxa"/>
            <w:tcBorders>
              <w:top w:val="single" w:color="auto" w:sz="18" w:space="0"/>
              <w:left w:val="single" w:color="auto" w:sz="18" w:space="0"/>
              <w:bottom w:val="single" w:color="auto" w:sz="4"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Attn</w:t>
            </w:r>
          </w:p>
        </w:tc>
        <w:tc>
          <w:tcPr>
            <w:tcW w:w="3650" w:type="dxa"/>
            <w:tcBorders>
              <w:top w:val="single" w:color="auto" w:sz="18" w:space="0"/>
              <w:left w:val="single" w:color="000000" w:sz="18" w:space="0"/>
              <w:bottom w:val="single" w:color="auto" w:sz="4" w:space="0"/>
              <w:right w:val="single" w:color="auto" w:sz="18" w:space="0"/>
            </w:tcBorders>
          </w:tcPr>
          <w:p>
            <w:pPr>
              <w:widowControl w:val="0"/>
              <w:jc w:val="both"/>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7" w:type="dxa"/>
            <w:vMerge w:val="restart"/>
            <w:tcBorders>
              <w:top w:val="single" w:color="auto" w:sz="4" w:space="0"/>
              <w:left w:val="single" w:color="auto" w:sz="18" w:space="0"/>
              <w:bottom w:val="single" w:color="auto" w:sz="4"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Address</w:t>
            </w:r>
          </w:p>
        </w:tc>
        <w:tc>
          <w:tcPr>
            <w:tcW w:w="3487" w:type="dxa"/>
            <w:tcBorders>
              <w:top w:val="single" w:color="auto" w:sz="4" w:space="0"/>
              <w:left w:val="single" w:color="000000" w:sz="18" w:space="0"/>
              <w:bottom w:val="single" w:color="auto" w:sz="4" w:space="0"/>
              <w:right w:val="single" w:color="auto" w:sz="18" w:space="0"/>
            </w:tcBorders>
          </w:tcPr>
          <w:p>
            <w:pPr>
              <w:widowControl w:val="0"/>
              <w:jc w:val="both"/>
              <w:rPr>
                <w:rFonts w:hint="default" w:eastAsiaTheme="minorEastAsia"/>
                <w:vertAlign w:val="baseline"/>
                <w:lang w:val="en-US" w:eastAsia="zh-CN"/>
              </w:rPr>
            </w:pPr>
          </w:p>
        </w:tc>
        <w:tc>
          <w:tcPr>
            <w:tcW w:w="1177" w:type="dxa"/>
            <w:tcBorders>
              <w:top w:val="single" w:color="auto" w:sz="4" w:space="0"/>
              <w:left w:val="single" w:color="auto" w:sz="18" w:space="0"/>
              <w:bottom w:val="single" w:color="auto" w:sz="4"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Email</w:t>
            </w:r>
          </w:p>
        </w:tc>
        <w:tc>
          <w:tcPr>
            <w:tcW w:w="3548" w:type="dxa"/>
            <w:tcBorders>
              <w:top w:val="single" w:color="auto" w:sz="4" w:space="0"/>
              <w:left w:val="single" w:color="000000" w:sz="18" w:space="0"/>
              <w:bottom w:val="single" w:color="auto" w:sz="4" w:space="0"/>
              <w:right w:val="single" w:color="auto" w:sz="18" w:space="0"/>
            </w:tcBorders>
          </w:tcPr>
          <w:p>
            <w:pPr>
              <w:widowControl w:val="0"/>
              <w:jc w:val="both"/>
              <w:rPr>
                <w:rFonts w:hint="default" w:eastAsiaTheme="minorEastAsia"/>
                <w:vertAlign w:val="baseline"/>
                <w:lang w:val="en-US" w:eastAsia="zh-CN"/>
              </w:rPr>
            </w:pPr>
          </w:p>
        </w:tc>
        <w:tc>
          <w:tcPr>
            <w:tcW w:w="1075" w:type="dxa"/>
            <w:tcBorders>
              <w:top w:val="single" w:color="auto" w:sz="4" w:space="0"/>
              <w:left w:val="single" w:color="auto" w:sz="18" w:space="0"/>
              <w:bottom w:val="single" w:color="auto" w:sz="4"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PO#</w:t>
            </w:r>
          </w:p>
        </w:tc>
        <w:tc>
          <w:tcPr>
            <w:tcW w:w="3650" w:type="dxa"/>
            <w:tcBorders>
              <w:top w:val="single" w:color="auto" w:sz="4" w:space="0"/>
              <w:left w:val="single" w:color="000000" w:sz="18" w:space="0"/>
              <w:bottom w:val="single" w:color="auto" w:sz="4" w:space="0"/>
              <w:right w:val="single" w:color="auto" w:sz="18" w:space="0"/>
            </w:tcBorders>
          </w:tcPr>
          <w:p>
            <w:pPr>
              <w:widowControl w:val="0"/>
              <w:jc w:val="both"/>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7" w:type="dxa"/>
            <w:vMerge w:val="continue"/>
            <w:tcBorders>
              <w:top w:val="single" w:color="auto" w:sz="4" w:space="0"/>
              <w:left w:val="single" w:color="auto" w:sz="18" w:space="0"/>
              <w:bottom w:val="single" w:color="auto" w:sz="4"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p>
        </w:tc>
        <w:tc>
          <w:tcPr>
            <w:tcW w:w="3487" w:type="dxa"/>
            <w:tcBorders>
              <w:top w:val="single" w:color="auto" w:sz="4" w:space="0"/>
              <w:left w:val="single" w:color="000000" w:sz="18" w:space="0"/>
              <w:bottom w:val="single" w:color="auto" w:sz="4" w:space="0"/>
              <w:right w:val="single" w:color="auto" w:sz="18" w:space="0"/>
            </w:tcBorders>
          </w:tcPr>
          <w:p>
            <w:pPr>
              <w:widowControl w:val="0"/>
              <w:jc w:val="both"/>
              <w:rPr>
                <w:rFonts w:hint="default" w:eastAsiaTheme="minorEastAsia"/>
                <w:vertAlign w:val="baseline"/>
                <w:lang w:val="en-US" w:eastAsia="zh-CN"/>
              </w:rPr>
            </w:pPr>
          </w:p>
        </w:tc>
        <w:tc>
          <w:tcPr>
            <w:tcW w:w="1177" w:type="dxa"/>
            <w:tcBorders>
              <w:top w:val="single" w:color="auto" w:sz="4" w:space="0"/>
              <w:left w:val="single" w:color="auto" w:sz="18" w:space="0"/>
              <w:bottom w:val="single" w:color="auto" w:sz="4"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Phone</w:t>
            </w:r>
          </w:p>
        </w:tc>
        <w:tc>
          <w:tcPr>
            <w:tcW w:w="3548" w:type="dxa"/>
            <w:tcBorders>
              <w:top w:val="single" w:color="auto" w:sz="4" w:space="0"/>
              <w:left w:val="single" w:color="000000" w:sz="18" w:space="0"/>
              <w:bottom w:val="single" w:color="auto" w:sz="4" w:space="0"/>
              <w:right w:val="single" w:color="auto" w:sz="18" w:space="0"/>
            </w:tcBorders>
          </w:tcPr>
          <w:p>
            <w:pPr>
              <w:widowControl w:val="0"/>
              <w:jc w:val="both"/>
              <w:rPr>
                <w:rFonts w:hint="default" w:eastAsiaTheme="minorEastAsia"/>
                <w:vertAlign w:val="baseline"/>
                <w:lang w:val="en-US" w:eastAsia="zh-CN"/>
              </w:rPr>
            </w:pPr>
          </w:p>
        </w:tc>
        <w:tc>
          <w:tcPr>
            <w:tcW w:w="1075" w:type="dxa"/>
            <w:tcBorders>
              <w:top w:val="single" w:color="auto" w:sz="4" w:space="0"/>
              <w:left w:val="single" w:color="auto" w:sz="18" w:space="0"/>
              <w:bottom w:val="single" w:color="auto" w:sz="4"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Email</w:t>
            </w:r>
          </w:p>
        </w:tc>
        <w:tc>
          <w:tcPr>
            <w:tcW w:w="3650" w:type="dxa"/>
            <w:tcBorders>
              <w:top w:val="single" w:color="auto" w:sz="4" w:space="0"/>
              <w:left w:val="single" w:color="000000" w:sz="18" w:space="0"/>
              <w:bottom w:val="single" w:color="auto" w:sz="4" w:space="0"/>
              <w:right w:val="single" w:color="auto" w:sz="18" w:space="0"/>
            </w:tcBorders>
          </w:tcPr>
          <w:p>
            <w:pPr>
              <w:widowControl w:val="0"/>
              <w:jc w:val="both"/>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7" w:type="dxa"/>
            <w:tcBorders>
              <w:top w:val="single" w:color="auto" w:sz="4" w:space="0"/>
              <w:left w:val="single" w:color="auto" w:sz="18" w:space="0"/>
              <w:bottom w:val="single" w:color="auto" w:sz="18"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Phone</w:t>
            </w:r>
          </w:p>
        </w:tc>
        <w:tc>
          <w:tcPr>
            <w:tcW w:w="3487" w:type="dxa"/>
            <w:tcBorders>
              <w:top w:val="single" w:color="auto" w:sz="4" w:space="0"/>
              <w:left w:val="single" w:color="000000" w:sz="18" w:space="0"/>
              <w:bottom w:val="single" w:color="auto" w:sz="18" w:space="0"/>
              <w:right w:val="single" w:color="auto" w:sz="18" w:space="0"/>
            </w:tcBorders>
          </w:tcPr>
          <w:p>
            <w:pPr>
              <w:widowControl w:val="0"/>
              <w:jc w:val="both"/>
              <w:rPr>
                <w:rFonts w:hint="default" w:eastAsiaTheme="minorEastAsia"/>
                <w:vertAlign w:val="baseline"/>
                <w:lang w:val="en-US" w:eastAsia="zh-CN"/>
              </w:rPr>
            </w:pPr>
          </w:p>
        </w:tc>
        <w:tc>
          <w:tcPr>
            <w:tcW w:w="1177" w:type="dxa"/>
            <w:tcBorders>
              <w:top w:val="single" w:color="auto" w:sz="4" w:space="0"/>
              <w:left w:val="single" w:color="auto" w:sz="18" w:space="0"/>
              <w:bottom w:val="single" w:color="auto" w:sz="18"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Fax</w:t>
            </w:r>
          </w:p>
        </w:tc>
        <w:tc>
          <w:tcPr>
            <w:tcW w:w="3548" w:type="dxa"/>
            <w:tcBorders>
              <w:top w:val="single" w:color="auto" w:sz="4" w:space="0"/>
              <w:left w:val="single" w:color="000000" w:sz="18" w:space="0"/>
              <w:bottom w:val="single" w:color="auto" w:sz="18" w:space="0"/>
              <w:right w:val="single" w:color="auto" w:sz="18" w:space="0"/>
            </w:tcBorders>
          </w:tcPr>
          <w:p>
            <w:pPr>
              <w:widowControl w:val="0"/>
              <w:jc w:val="both"/>
              <w:rPr>
                <w:rFonts w:hint="default" w:eastAsiaTheme="minorEastAsia"/>
                <w:vertAlign w:val="baseline"/>
                <w:lang w:val="en-US" w:eastAsia="zh-CN"/>
              </w:rPr>
            </w:pPr>
          </w:p>
        </w:tc>
        <w:tc>
          <w:tcPr>
            <w:tcW w:w="1075" w:type="dxa"/>
            <w:tcBorders>
              <w:top w:val="single" w:color="auto" w:sz="4" w:space="0"/>
              <w:left w:val="single" w:color="auto" w:sz="18" w:space="0"/>
              <w:bottom w:val="single" w:color="auto" w:sz="18" w:space="0"/>
              <w:right w:val="single" w:color="000000" w:sz="18"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Phone</w:t>
            </w:r>
          </w:p>
        </w:tc>
        <w:tc>
          <w:tcPr>
            <w:tcW w:w="3650" w:type="dxa"/>
            <w:tcBorders>
              <w:top w:val="single" w:color="auto" w:sz="4" w:space="0"/>
              <w:left w:val="single" w:color="000000" w:sz="18" w:space="0"/>
              <w:bottom w:val="single" w:color="auto" w:sz="18" w:space="0"/>
              <w:right w:val="single" w:color="auto" w:sz="18" w:space="0"/>
            </w:tcBorders>
          </w:tcPr>
          <w:p>
            <w:pPr>
              <w:widowControl w:val="0"/>
              <w:jc w:val="both"/>
              <w:rPr>
                <w:rFonts w:hint="default" w:eastAsiaTheme="minorEastAsia"/>
                <w:vertAlign w:val="baseline"/>
                <w:lang w:val="en-US" w:eastAsia="zh-CN"/>
              </w:rPr>
            </w:pPr>
          </w:p>
        </w:tc>
      </w:tr>
    </w:tbl>
    <w:p>
      <w:pPr>
        <w:rPr>
          <w:rFonts w:hint="default" w:eastAsiaTheme="minorEastAsia"/>
          <w:lang w:val="en-US" w:eastAsia="zh-CN"/>
        </w:rPr>
      </w:pP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755"/>
        <w:gridCol w:w="1445"/>
        <w:gridCol w:w="2264"/>
        <w:gridCol w:w="2782"/>
        <w:gridCol w:w="21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No.</w:t>
            </w:r>
          </w:p>
        </w:tc>
        <w:tc>
          <w:tcPr>
            <w:tcW w:w="2755"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Sample Name</w:t>
            </w:r>
          </w:p>
        </w:tc>
        <w:tc>
          <w:tcPr>
            <w:tcW w:w="1445"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Lot </w:t>
            </w:r>
            <w:r>
              <w:rPr>
                <w:rFonts w:hint="eastAsia" w:ascii="Times New Roman" w:hAnsi="Times New Roman" w:cs="Times New Roman"/>
                <w:b/>
                <w:bCs/>
                <w:sz w:val="24"/>
                <w:szCs w:val="24"/>
                <w:vertAlign w:val="baseline"/>
                <w:lang w:val="en-US" w:eastAsia="zh-CN"/>
              </w:rPr>
              <w:t>#</w:t>
            </w:r>
          </w:p>
        </w:tc>
        <w:tc>
          <w:tcPr>
            <w:tcW w:w="2264"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Test/Analysis</w:t>
            </w:r>
          </w:p>
        </w:tc>
        <w:tc>
          <w:tcPr>
            <w:tcW w:w="2782"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Specification/Range</w:t>
            </w:r>
          </w:p>
        </w:tc>
        <w:tc>
          <w:tcPr>
            <w:tcW w:w="2127"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Normal or Rush</w:t>
            </w:r>
          </w:p>
        </w:tc>
        <w:tc>
          <w:tcPr>
            <w:tcW w:w="2178"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Special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2755" w:type="dxa"/>
            <w:tcBorders>
              <w:top w:val="single" w:color="auto" w:sz="12" w:space="0"/>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Borders>
              <w:top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bookmarkStart w:id="0" w:name="_GoBack"/>
            <w:bookmarkEnd w:id="0"/>
          </w:p>
        </w:tc>
        <w:tc>
          <w:tcPr>
            <w:tcW w:w="2264" w:type="dxa"/>
            <w:tcBorders>
              <w:top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Borders>
              <w:top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Borders>
              <w:top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top w:val="single" w:color="auto" w:sz="12" w:space="0"/>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6</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9</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10</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11</w:t>
            </w:r>
          </w:p>
        </w:tc>
        <w:tc>
          <w:tcPr>
            <w:tcW w:w="2755" w:type="dxa"/>
            <w:tcBorders>
              <w:left w:val="single" w:color="auto"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tcBorders>
              <w:top w:val="single" w:color="auto" w:sz="12" w:space="0"/>
              <w:left w:val="single" w:color="auto" w:sz="12" w:space="0"/>
              <w:bottom w:val="single" w:color="auto" w:sz="12" w:space="0"/>
              <w:right w:val="single" w:color="auto" w:sz="12" w:space="0"/>
            </w:tcBorders>
          </w:tcPr>
          <w:p>
            <w:pPr>
              <w:widowControl w:val="0"/>
              <w:jc w:val="both"/>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12</w:t>
            </w:r>
          </w:p>
        </w:tc>
        <w:tc>
          <w:tcPr>
            <w:tcW w:w="2755" w:type="dxa"/>
            <w:tcBorders>
              <w:left w:val="single" w:color="auto" w:sz="12" w:space="0"/>
              <w:bottom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1445" w:type="dxa"/>
            <w:tcBorders>
              <w:bottom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2264" w:type="dxa"/>
            <w:tcBorders>
              <w:bottom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2782" w:type="dxa"/>
            <w:tcBorders>
              <w:bottom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2127" w:type="dxa"/>
            <w:tcBorders>
              <w:bottom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c>
          <w:tcPr>
            <w:tcW w:w="2178" w:type="dxa"/>
            <w:tcBorders>
              <w:bottom w:val="single" w:color="000000" w:sz="12" w:space="0"/>
              <w:right w:val="single" w:color="000000" w:sz="12" w:space="0"/>
            </w:tcBorders>
          </w:tcPr>
          <w:p>
            <w:pPr>
              <w:widowControl w:val="0"/>
              <w:jc w:val="both"/>
              <w:rPr>
                <w:rFonts w:hint="default" w:ascii="Times New Roman" w:hAnsi="Times New Roman" w:cs="Times New Roman" w:eastAsiaTheme="minorEastAsia"/>
                <w:sz w:val="24"/>
                <w:szCs w:val="24"/>
                <w:vertAlign w:val="baseline"/>
                <w:lang w:val="en-US" w:eastAsia="zh-CN"/>
              </w:rPr>
            </w:pPr>
          </w:p>
        </w:tc>
      </w:tr>
    </w:tbl>
    <w:p>
      <w:pPr>
        <w:rPr>
          <w:rFonts w:hint="default" w:eastAsiaTheme="minorEastAsia"/>
          <w:lang w:val="en-US" w:eastAsia="zh-CN"/>
        </w:rPr>
      </w:pP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3"/>
        <w:gridCol w:w="4937"/>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3" w:type="dxa"/>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bCs/>
                <w:sz w:val="24"/>
                <w:szCs w:val="24"/>
                <w:vertAlign w:val="baseline"/>
                <w:lang w:val="en-US" w:eastAsia="zh-CN"/>
              </w:rPr>
              <w:t>Normal Turnaround</w:t>
            </w:r>
            <w:r>
              <w:rPr>
                <w:rFonts w:hint="eastAsia" w:ascii="Times New Roman" w:hAnsi="Times New Roman" w:cs="Times New Roman"/>
                <w:b/>
                <w:bCs/>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4 Business Days</w:t>
            </w:r>
          </w:p>
        </w:tc>
        <w:tc>
          <w:tcPr>
            <w:tcW w:w="4937" w:type="dxa"/>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bCs/>
                <w:sz w:val="24"/>
                <w:szCs w:val="24"/>
                <w:vertAlign w:val="baseline"/>
                <w:lang w:val="en-US" w:eastAsia="zh-CN"/>
              </w:rPr>
              <w:t>Rush (50% Surcharge)</w:t>
            </w:r>
            <w:r>
              <w:rPr>
                <w:rFonts w:hint="eastAsia" w:ascii="Times New Roman" w:hAnsi="Times New Roman" w:cs="Times New Roman"/>
                <w:b/>
                <w:bCs/>
                <w:sz w:val="24"/>
                <w:szCs w:val="24"/>
                <w:vertAlign w:val="baseline"/>
                <w:lang w:val="en-US" w:eastAsia="zh-CN"/>
              </w:rPr>
              <w:t>:</w:t>
            </w:r>
            <w:r>
              <w:rPr>
                <w:rFonts w:hint="default" w:ascii="Times New Roman" w:hAnsi="Times New Roman" w:cs="Times New Roman"/>
                <w:sz w:val="24"/>
                <w:szCs w:val="24"/>
                <w:vertAlign w:val="baseline"/>
                <w:lang w:val="en-US" w:eastAsia="zh-CN"/>
              </w:rPr>
              <w:t>2-3 Business Days</w:t>
            </w:r>
          </w:p>
        </w:tc>
        <w:tc>
          <w:tcPr>
            <w:tcW w:w="4414" w:type="dxa"/>
          </w:tcPr>
          <w:p>
            <w:pPr>
              <w:widowControl w:val="0"/>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b/>
                <w:bCs/>
                <w:sz w:val="24"/>
                <w:szCs w:val="24"/>
                <w:vertAlign w:val="baseline"/>
                <w:lang w:val="en-US" w:eastAsia="zh-CN"/>
              </w:rPr>
              <w:t>Rush (100% Surcharge)</w:t>
            </w:r>
            <w:r>
              <w:rPr>
                <w:rFonts w:hint="eastAsia" w:ascii="Times New Roman" w:hAnsi="Times New Roman" w:cs="Times New Roman"/>
                <w:b/>
                <w:bCs/>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1 Business Day</w:t>
            </w:r>
          </w:p>
        </w:tc>
      </w:tr>
    </w:tbl>
    <w:p>
      <w:pPr>
        <w:rPr>
          <w:rFonts w:hint="default" w:eastAsiaTheme="minorEastAsia"/>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u w:val="single"/>
          <w:lang w:val="en-US" w:eastAsia="zh-CN"/>
        </w:rPr>
      </w:pPr>
      <w:r>
        <w:rPr>
          <w:rFonts w:hint="eastAsia" w:ascii="Times New Roman" w:hAnsi="Times New Roman" w:cs="Times New Roman"/>
          <w:sz w:val="28"/>
          <w:szCs w:val="28"/>
          <w:lang w:val="en-US" w:eastAsia="zh-CN"/>
        </w:rPr>
        <w:t>Submitted/</w:t>
      </w:r>
      <w:r>
        <w:rPr>
          <w:rFonts w:hint="default" w:ascii="Times New Roman" w:hAnsi="Times New Roman" w:cs="Times New Roman"/>
          <w:sz w:val="28"/>
          <w:szCs w:val="28"/>
          <w:lang w:val="en-US" w:eastAsia="zh-CN"/>
        </w:rPr>
        <w:t xml:space="preserve">Approved </w:t>
      </w:r>
      <w:r>
        <w:rPr>
          <w:rFonts w:hint="eastAsia" w:ascii="Times New Roman" w:hAnsi="Times New Roman" w:cs="Times New Roman"/>
          <w:sz w:val="28"/>
          <w:szCs w:val="28"/>
          <w:lang w:val="en-US" w:eastAsia="zh-CN"/>
        </w:rPr>
        <w:t>by: Name</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u w:val="none"/>
          <w:lang w:val="en-US" w:eastAsia="zh-CN"/>
        </w:rPr>
        <w:t xml:space="preserve">    Signature</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u w:val="none"/>
          <w:lang w:val="en-US" w:eastAsia="zh-CN"/>
        </w:rPr>
        <w:t xml:space="preserve">   Date</w:t>
      </w:r>
      <w:r>
        <w:rPr>
          <w:rFonts w:hint="eastAsia" w:ascii="Times New Roman" w:hAnsi="Times New Roman" w:cs="Times New Roman"/>
          <w:sz w:val="28"/>
          <w:szCs w:val="28"/>
          <w:u w:val="single"/>
          <w:lang w:val="en-US" w:eastAsia="zh-CN"/>
        </w:rPr>
        <w:t xml:space="preserve">          </w:t>
      </w:r>
    </w:p>
    <w:p>
      <w:pPr>
        <w:rPr>
          <w:rFonts w:hint="default" w:ascii="Times New Roman" w:hAnsi="Times New Roman" w:cs="Times New Roman"/>
          <w:sz w:val="16"/>
          <w:szCs w:val="16"/>
          <w:u w:val="none"/>
          <w:lang w:val="en-US" w:eastAsia="zh-CN"/>
        </w:rPr>
      </w:pPr>
    </w:p>
    <w:p>
      <w:pPr>
        <w:rPr>
          <w:rFonts w:hint="default" w:ascii="Times New Roman" w:hAnsi="Times New Roman" w:cs="Times New Roman"/>
          <w:sz w:val="16"/>
          <w:szCs w:val="16"/>
          <w:u w:val="none"/>
          <w:lang w:val="en-US" w:eastAsia="zh-CN"/>
        </w:rPr>
      </w:pPr>
    </w:p>
    <w:p>
      <w:pPr>
        <w:rPr>
          <w:rFonts w:hint="default" w:ascii="Times New Roman" w:hAnsi="Times New Roman" w:cs="Times New Roman"/>
          <w:sz w:val="16"/>
          <w:szCs w:val="16"/>
          <w:u w:val="none"/>
          <w:lang w:val="en-US" w:eastAsia="zh-CN"/>
        </w:rPr>
      </w:pPr>
    </w:p>
    <w:p>
      <w:pPr>
        <w:jc w:val="center"/>
        <w:rPr>
          <w:rFonts w:hint="default" w:ascii="Times New Roman" w:hAnsi="Times New Roman" w:cs="Times New Roman"/>
          <w:sz w:val="16"/>
          <w:szCs w:val="16"/>
          <w:u w:val="none"/>
          <w:lang w:val="en-US" w:eastAsia="zh-CN"/>
        </w:rPr>
      </w:pPr>
      <w:r>
        <w:rPr>
          <w:rFonts w:hint="default" w:ascii="Times New Roman" w:hAnsi="Times New Roman" w:cs="Times New Roman"/>
          <w:sz w:val="16"/>
          <w:szCs w:val="16"/>
          <w:u w:val="none"/>
          <w:lang w:val="en-US" w:eastAsia="zh-CN"/>
        </w:rPr>
        <w:t>BY SUBMITTING A SAMPLE WITH THIS SUBMITTAL FORM, CUSTOMER AGREES THAT THEY HAVE READ, AND AGREE TO BE BOUND BY SWIFT LAB'S FULL TERMS AND CONDITIONS ATTACHED TO THIS FORM AS BELOW</w:t>
      </w:r>
      <w:r>
        <w:rPr>
          <w:rFonts w:hint="eastAsia" w:ascii="Times New Roman" w:hAnsi="Times New Roman" w:cs="Times New Roman"/>
          <w:sz w:val="16"/>
          <w:szCs w:val="16"/>
          <w:u w:val="none"/>
          <w:lang w:val="en-US" w:eastAsia="zh-CN"/>
        </w:rPr>
        <w:t xml:space="preserve"> OR WWW.SWIFTLABORATORY.COM</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Terms of Service</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These Terms of Service contain the terms and conditions under which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provides laboratory services (“Services”) to its customers (each a “Customer”). Customer’s submission of a sample submittal form or delivery of any sample(s) to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constitutes Customer’s acceptance of these Terms of Service. It is Customer’s responsibility to check the Terms of Service for any future changes. Customer’s submission of a sample submission form or delivery of any sample(s) to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after any changes constitutes Customer’s acceptance of the changes. Should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and Customer have agreed upon a different written contract covering Services, that contract will control during its term.</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 xml:space="preserve">Sample Acceptance &amp; Retention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On receipt of the sample submittal form along with the sample, the requested analysis for the sample will be reviewed. Samples received without a sample submittal form will be placed on hold and Customer will be notified. Samples on hold for more than 3 weeks will be discarded if Customer does not specify the request needed.</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Samples are generally in queue for analysis on a “first come first served” basis, unless sample is identified as a “rush.” We aim to complete the sample analyses within </w:t>
      </w:r>
      <w:r>
        <w:rPr>
          <w:rFonts w:hint="eastAsia" w:ascii="Times New Roman" w:hAnsi="Times New Roman" w:eastAsia="SimSun" w:cs="Times New Roman"/>
          <w:i w:val="0"/>
          <w:caps w:val="0"/>
          <w:color w:val="757575"/>
          <w:spacing w:val="0"/>
          <w:sz w:val="15"/>
          <w:szCs w:val="15"/>
          <w:u w:val="none"/>
          <w:lang w:val="en-US" w:eastAsia="zh-CN"/>
        </w:rPr>
        <w:t>4</w:t>
      </w:r>
      <w:r>
        <w:rPr>
          <w:rFonts w:hint="default" w:ascii="Times New Roman" w:hAnsi="Times New Roman" w:eastAsia="&amp;quot" w:cs="Times New Roman"/>
          <w:i w:val="0"/>
          <w:caps w:val="0"/>
          <w:color w:val="757575"/>
          <w:spacing w:val="0"/>
          <w:sz w:val="15"/>
          <w:szCs w:val="15"/>
          <w:u w:val="none"/>
        </w:rPr>
        <w:t xml:space="preserve"> working days from the initial receipt of the sample. Requests for “rush” are subject to a surcharge, the exact surcharge may vary based on the speed requested and the type of testing required. Customers will need to request a “rush” for their sample on either the sample submittal form or via email. Unless Customer has prior business with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prices will be determined and agreed on before testing commences.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serves the right to refuse or reject any sample that it considers to be a hazardous risk to health or the environment, unsuitable for testing because of sample amount or laboratory capabilities.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Samples are retained for three (3) months from the time they arrive at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However, if the sample is perishable, it will be discarded immediately once testing is completed.</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Health &amp; Safety</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Customers must inform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of any hazard relating to the samples submitted for analysis.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will hold Customer responsible for any injury or illness that results from the handling of materials that are not clearly labeled as being of a hazardous nature.</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 xml:space="preserve">Changes to Services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will make reasonable efforts to satisfy Customer’s written request for changes in analyses testing after acceptable of a sample, such as adding or deleting analyses. However, Customer will be responsible for any change in pricing and/or increase in turnaround times. Customer should contact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in advance for additional information.</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Customers who request to cancel testing services after sample is processed in the laboratory will be obligated to pay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on a pro rata basis for services already performed before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received the cancellation request.</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Risk of Loss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is not responsible or liable for any action/inaction of any carrier shipping or delivering sample(s) to or from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Customer is responsible for taking the necessary actions to package, label, and transport the sample to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 xml:space="preserve">The Analytical Services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Analyses will only relate to the sample as received and not from any bulk or previous samples that relate to the present sample. Samples with different lot numbers are considered separate analyses regardless of same analyses requested.</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Unless Customer has a written request to use a specific testing method,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will perform testing using in-house methods.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 xml:space="preserve">Repeat Testing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Upon request from Customer,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shall repeat testing request if sample contains sufficient material.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will only invoice Customer for the repeat test if the repeat testing result confirms the initial test result. If the initial test results are statistically different from the repeat testing result, a Corrective Action form will be filled out and provided to Customer.</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 xml:space="preserve">Reporting Results &amp; Confidentiality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Once testing is completed and reviewed by the laboratory manager,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will send Customer the Certificate of Analysis via e-mail.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will not release test results to any party besides the individual(s) specified on the sample submittal form. If Customer needs the test results sent to another party, Customer must provide written approval via email allowing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to release results.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It is the policy of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not to provide interpretations or opinions on results of analyses. However, we will be prepared to discuss the facts contained in the analytical report.</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will retain raw data reports from analyses for </w:t>
      </w:r>
      <w:r>
        <w:rPr>
          <w:rFonts w:hint="eastAsia" w:ascii="Times New Roman" w:hAnsi="Times New Roman" w:eastAsia="SimSun" w:cs="Times New Roman"/>
          <w:i w:val="0"/>
          <w:caps w:val="0"/>
          <w:color w:val="757575"/>
          <w:spacing w:val="0"/>
          <w:sz w:val="15"/>
          <w:szCs w:val="15"/>
          <w:u w:val="none"/>
          <w:lang w:val="en-US" w:eastAsia="zh-CN"/>
        </w:rPr>
        <w:t>2</w:t>
      </w:r>
      <w:r>
        <w:rPr>
          <w:rFonts w:hint="default" w:ascii="Times New Roman" w:hAnsi="Times New Roman" w:eastAsia="&amp;quot" w:cs="Times New Roman"/>
          <w:i w:val="0"/>
          <w:caps w:val="0"/>
          <w:color w:val="757575"/>
          <w:spacing w:val="0"/>
          <w:sz w:val="15"/>
          <w:szCs w:val="15"/>
          <w:u w:val="none"/>
        </w:rPr>
        <w:t xml:space="preserve"> years after testing and retain electronic copies of Customer’s Certificate of Analysis (COA) for </w:t>
      </w:r>
      <w:r>
        <w:rPr>
          <w:rFonts w:hint="eastAsia" w:ascii="Times New Roman" w:hAnsi="Times New Roman" w:eastAsia="SimSun" w:cs="Times New Roman"/>
          <w:i w:val="0"/>
          <w:caps w:val="0"/>
          <w:color w:val="757575"/>
          <w:spacing w:val="0"/>
          <w:sz w:val="15"/>
          <w:szCs w:val="15"/>
          <w:u w:val="none"/>
          <w:lang w:val="en-US" w:eastAsia="zh-CN"/>
        </w:rPr>
        <w:t>3</w:t>
      </w:r>
      <w:r>
        <w:rPr>
          <w:rFonts w:hint="default" w:ascii="Times New Roman" w:hAnsi="Times New Roman" w:eastAsia="&amp;quot" w:cs="Times New Roman"/>
          <w:i w:val="0"/>
          <w:caps w:val="0"/>
          <w:color w:val="757575"/>
          <w:spacing w:val="0"/>
          <w:sz w:val="15"/>
          <w:szCs w:val="15"/>
          <w:u w:val="none"/>
        </w:rPr>
        <w:t xml:space="preserve"> years.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Our Liability</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shall be liable to reimburse Customer on account of any defects in our results as a result of our services. Compensation is only limited to the reimbursement of the testing fees paid for the specific analyses.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Price &amp; Payment</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Payment </w:t>
      </w:r>
      <w:r>
        <w:rPr>
          <w:rFonts w:hint="eastAsia" w:ascii="Times New Roman" w:hAnsi="Times New Roman" w:eastAsia="SimSun" w:cs="Times New Roman"/>
          <w:i w:val="0"/>
          <w:caps w:val="0"/>
          <w:color w:val="757575"/>
          <w:spacing w:val="0"/>
          <w:sz w:val="15"/>
          <w:szCs w:val="15"/>
          <w:u w:val="none"/>
          <w:lang w:val="en-US" w:eastAsia="zh-CN"/>
        </w:rPr>
        <w:t xml:space="preserve">should be made by check payable to </w:t>
      </w:r>
      <w:r>
        <w:rPr>
          <w:rFonts w:hint="default" w:ascii="Times New Roman" w:hAnsi="Times New Roman" w:eastAsia="SimSun" w:cs="Times New Roman"/>
          <w:i w:val="0"/>
          <w:caps w:val="0"/>
          <w:color w:val="757575"/>
          <w:spacing w:val="0"/>
          <w:sz w:val="15"/>
          <w:szCs w:val="15"/>
          <w:u w:val="none"/>
          <w:lang w:val="en-US" w:eastAsia="zh-CN"/>
        </w:rPr>
        <w:t>“</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SimSun" w:cs="Times New Roman"/>
          <w:i w:val="0"/>
          <w:caps w:val="0"/>
          <w:color w:val="757575"/>
          <w:spacing w:val="0"/>
          <w:sz w:val="15"/>
          <w:szCs w:val="15"/>
          <w:u w:val="none"/>
          <w:lang w:val="en-US" w:eastAsia="zh-CN"/>
        </w:rPr>
        <w:t>”</w:t>
      </w:r>
      <w:r>
        <w:rPr>
          <w:rFonts w:hint="eastAsia" w:ascii="Times New Roman" w:hAnsi="Times New Roman" w:eastAsia="SimSun" w:cs="Times New Roman"/>
          <w:i w:val="0"/>
          <w:caps w:val="0"/>
          <w:color w:val="757575"/>
          <w:spacing w:val="0"/>
          <w:sz w:val="15"/>
          <w:szCs w:val="15"/>
          <w:u w:val="none"/>
          <w:lang w:val="en-US" w:eastAsia="zh-CN"/>
        </w:rPr>
        <w:t xml:space="preserve">. </w:t>
      </w:r>
      <w:r>
        <w:rPr>
          <w:rFonts w:hint="default" w:ascii="Times New Roman" w:hAnsi="Times New Roman" w:eastAsia="&amp;quot" w:cs="Times New Roman"/>
          <w:i w:val="0"/>
          <w:caps w:val="0"/>
          <w:color w:val="757575"/>
          <w:spacing w:val="0"/>
          <w:sz w:val="15"/>
          <w:szCs w:val="15"/>
          <w:u w:val="none"/>
        </w:rPr>
        <w:t>Payments are due 20 days from the date printed on the invoice.</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will not process samples with Customer should Customer have an outstanding balance greater than $</w:t>
      </w:r>
      <w:r>
        <w:rPr>
          <w:rFonts w:hint="eastAsia" w:ascii="Times New Roman" w:hAnsi="Times New Roman" w:eastAsia="SimSun" w:cs="Times New Roman"/>
          <w:i w:val="0"/>
          <w:caps w:val="0"/>
          <w:color w:val="757575"/>
          <w:spacing w:val="0"/>
          <w:sz w:val="15"/>
          <w:szCs w:val="15"/>
          <w:u w:val="none"/>
          <w:lang w:val="en-US" w:eastAsia="zh-CN"/>
        </w:rPr>
        <w:t>2</w:t>
      </w:r>
      <w:r>
        <w:rPr>
          <w:rFonts w:hint="default" w:ascii="Times New Roman" w:hAnsi="Times New Roman" w:eastAsia="&amp;quot" w:cs="Times New Roman"/>
          <w:i w:val="0"/>
          <w:caps w:val="0"/>
          <w:color w:val="757575"/>
          <w:spacing w:val="0"/>
          <w:sz w:val="15"/>
          <w:szCs w:val="15"/>
          <w:u w:val="none"/>
        </w:rPr>
        <w:t xml:space="preserve">,000.00 due to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xml:space="preserve">Prices for particular analyses may vary depending on the material of the sample. The price for the analyses shall be agreed upon between Customer and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before testing. </w:t>
      </w: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reserves the right to request pre-payment for services for large orders.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 xml:space="preserve">Force Majeure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will not be held responsible for any failure to perform or delays in turn-around time that is caused by contingencies outside our control.</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Contingencies outside our control includes any event, act, accident that is beyond our reasonable control and includes but is not limited to the following:</w:t>
      </w:r>
    </w:p>
    <w:p>
      <w:pPr>
        <w:keepNext w:val="0"/>
        <w:keepLines w:val="0"/>
        <w:widowControl/>
        <w:numPr>
          <w:ilvl w:val="0"/>
          <w:numId w:val="1"/>
        </w:numPr>
        <w:suppressLineNumbers w:val="0"/>
        <w:spacing w:before="0" w:beforeAutospacing="1" w:after="0" w:afterAutospacing="1"/>
        <w:ind w:left="720" w:hanging="360"/>
        <w:jc w:val="left"/>
        <w:rPr>
          <w:rFonts w:hint="default" w:ascii="Times New Roman" w:hAnsi="Times New Roman" w:cs="Times New Roman"/>
          <w:color w:val="757575"/>
          <w:sz w:val="15"/>
          <w:szCs w:val="15"/>
        </w:rPr>
      </w:pPr>
      <w:r>
        <w:rPr>
          <w:rFonts w:hint="default" w:ascii="Times New Roman" w:hAnsi="Times New Roman" w:eastAsia="&amp;quot" w:cs="Times New Roman"/>
          <w:i w:val="0"/>
          <w:caps w:val="0"/>
          <w:color w:val="757575"/>
          <w:spacing w:val="0"/>
          <w:sz w:val="15"/>
          <w:szCs w:val="15"/>
          <w:u w:val="none"/>
        </w:rPr>
        <w:t>civil commotion, war (whether declared or not), civil war, riots, acts of terrorism and sabotage</w:t>
      </w:r>
    </w:p>
    <w:p>
      <w:pPr>
        <w:keepNext w:val="0"/>
        <w:keepLines w:val="0"/>
        <w:widowControl/>
        <w:numPr>
          <w:ilvl w:val="0"/>
          <w:numId w:val="1"/>
        </w:numPr>
        <w:suppressLineNumbers w:val="0"/>
        <w:spacing w:before="0" w:beforeAutospacing="1" w:after="0" w:afterAutospacing="1"/>
        <w:ind w:left="720" w:hanging="360"/>
        <w:jc w:val="left"/>
        <w:rPr>
          <w:rFonts w:hint="default" w:ascii="Times New Roman" w:hAnsi="Times New Roman" w:cs="Times New Roman"/>
          <w:color w:val="757575"/>
          <w:sz w:val="15"/>
          <w:szCs w:val="15"/>
        </w:rPr>
      </w:pPr>
      <w:r>
        <w:rPr>
          <w:rFonts w:hint="default" w:ascii="Times New Roman" w:hAnsi="Times New Roman" w:eastAsia="&amp;quot" w:cs="Times New Roman"/>
          <w:i w:val="0"/>
          <w:caps w:val="0"/>
          <w:color w:val="757575"/>
          <w:spacing w:val="0"/>
          <w:sz w:val="15"/>
          <w:szCs w:val="15"/>
          <w:u w:val="none"/>
        </w:rPr>
        <w:t>fires, storms, floods, earthquakes, other natural disasters and epidemics</w:t>
      </w:r>
    </w:p>
    <w:p>
      <w:pPr>
        <w:keepNext w:val="0"/>
        <w:keepLines w:val="0"/>
        <w:widowControl/>
        <w:numPr>
          <w:ilvl w:val="0"/>
          <w:numId w:val="1"/>
        </w:numPr>
        <w:suppressLineNumbers w:val="0"/>
        <w:spacing w:before="0" w:beforeAutospacing="1" w:after="0" w:afterAutospacing="1"/>
        <w:ind w:left="720" w:hanging="360"/>
        <w:jc w:val="left"/>
        <w:rPr>
          <w:rFonts w:hint="default" w:ascii="Times New Roman" w:hAnsi="Times New Roman" w:cs="Times New Roman"/>
          <w:color w:val="757575"/>
          <w:sz w:val="15"/>
          <w:szCs w:val="15"/>
        </w:rPr>
      </w:pPr>
      <w:r>
        <w:rPr>
          <w:rFonts w:hint="default" w:ascii="Times New Roman" w:hAnsi="Times New Roman" w:eastAsia="&amp;quot" w:cs="Times New Roman"/>
          <w:i w:val="0"/>
          <w:caps w:val="0"/>
          <w:color w:val="757575"/>
          <w:spacing w:val="0"/>
          <w:sz w:val="15"/>
          <w:szCs w:val="15"/>
          <w:u w:val="none"/>
        </w:rPr>
        <w:t>failures in utilities companies such as internet, gas, or electricity services</w:t>
      </w:r>
    </w:p>
    <w:p>
      <w:pPr>
        <w:keepNext w:val="0"/>
        <w:keepLines w:val="0"/>
        <w:widowControl/>
        <w:numPr>
          <w:ilvl w:val="0"/>
          <w:numId w:val="1"/>
        </w:numPr>
        <w:suppressLineNumbers w:val="0"/>
        <w:spacing w:before="0" w:beforeAutospacing="1" w:after="0" w:afterAutospacing="1"/>
        <w:ind w:left="720" w:hanging="360"/>
        <w:jc w:val="left"/>
        <w:rPr>
          <w:rFonts w:hint="default" w:ascii="Times New Roman" w:hAnsi="Times New Roman" w:cs="Times New Roman"/>
          <w:color w:val="757575"/>
          <w:sz w:val="15"/>
          <w:szCs w:val="15"/>
        </w:rPr>
      </w:pPr>
      <w:r>
        <w:rPr>
          <w:rFonts w:hint="default" w:ascii="Times New Roman" w:hAnsi="Times New Roman" w:eastAsia="&amp;quot" w:cs="Times New Roman"/>
          <w:i w:val="0"/>
          <w:caps w:val="0"/>
          <w:color w:val="757575"/>
          <w:spacing w:val="0"/>
          <w:sz w:val="15"/>
          <w:szCs w:val="15"/>
          <w:u w:val="none"/>
        </w:rPr>
        <w:t>labor disputes or strikes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’s testing services under any of the circumstances may be suspended for analyses duration that period.</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Our Right to Vary These Terms of Service</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eastAsia" w:ascii="Times New Roman" w:hAnsi="Times New Roman" w:eastAsia="SimSun" w:cs="Times New Roman"/>
          <w:i w:val="0"/>
          <w:caps w:val="0"/>
          <w:color w:val="757575"/>
          <w:spacing w:val="0"/>
          <w:sz w:val="15"/>
          <w:szCs w:val="15"/>
          <w:u w:val="none"/>
          <w:lang w:val="en-US" w:eastAsia="zh-CN"/>
        </w:rPr>
        <w:t>Swift Lab</w:t>
      </w:r>
      <w:r>
        <w:rPr>
          <w:rFonts w:hint="default" w:ascii="Times New Roman" w:hAnsi="Times New Roman" w:eastAsia="&amp;quot" w:cs="Times New Roman"/>
          <w:i w:val="0"/>
          <w:caps w:val="0"/>
          <w:color w:val="757575"/>
          <w:spacing w:val="0"/>
          <w:sz w:val="15"/>
          <w:szCs w:val="15"/>
          <w:u w:val="none"/>
        </w:rPr>
        <w:t xml:space="preserve"> reserves the right to amend our terms of service to reflect changes in the market conditions affecting our business, developments in technology, shifts in payment methods, changes in relevant laws and regulatory requirements, and updates in our system’s capabilities.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Entire Agreement</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This Agreement contains the entire agreement of the parties. No other agreement, statement, or promise made on or before the effective date of this Agreement will be binding on the parties.</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Severability In Event of Partial Invalidity</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If any provision of this Agreement is held in whole or in part to be unenforceable for any reason, the remainder of that provision and of the entire Agreement will be severable and remain in effect.</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Fonts w:hint="default" w:ascii="Times New Roman" w:hAnsi="Times New Roman" w:eastAsia="&amp;quot" w:cs="Times New Roman"/>
          <w:i w:val="0"/>
          <w:caps w:val="0"/>
          <w:color w:val="757575"/>
          <w:spacing w:val="0"/>
          <w:sz w:val="15"/>
          <w:szCs w:val="15"/>
          <w:u w:val="none"/>
        </w:rPr>
        <w:t> </w:t>
      </w:r>
    </w:p>
    <w:p>
      <w:pPr>
        <w:pStyle w:val="5"/>
        <w:keepNext w:val="0"/>
        <w:keepLines w:val="0"/>
        <w:widowControl/>
        <w:suppressLineNumbers w:val="0"/>
        <w:spacing w:before="0" w:beforeAutospacing="0" w:after="0" w:afterAutospacing="0"/>
        <w:ind w:left="0" w:firstLine="0"/>
        <w:jc w:val="left"/>
        <w:rPr>
          <w:rFonts w:hint="default" w:ascii="Times New Roman" w:hAnsi="Times New Roman" w:eastAsia="&amp;quot" w:cs="Times New Roman"/>
          <w:i w:val="0"/>
          <w:caps w:val="0"/>
          <w:color w:val="757575"/>
          <w:spacing w:val="0"/>
          <w:sz w:val="15"/>
          <w:szCs w:val="15"/>
          <w:u w:val="none"/>
        </w:rPr>
      </w:pPr>
      <w:r>
        <w:rPr>
          <w:rStyle w:val="7"/>
          <w:rFonts w:hint="default" w:ascii="Times New Roman" w:hAnsi="Times New Roman" w:eastAsia="&amp;quot" w:cs="Times New Roman"/>
          <w:b/>
          <w:i w:val="0"/>
          <w:caps w:val="0"/>
          <w:color w:val="757575"/>
          <w:spacing w:val="0"/>
          <w:sz w:val="15"/>
          <w:szCs w:val="15"/>
          <w:u w:val="none"/>
        </w:rPr>
        <w:t>Governing Law</w:t>
      </w:r>
    </w:p>
    <w:p>
      <w:pPr>
        <w:pStyle w:val="5"/>
        <w:keepNext w:val="0"/>
        <w:keepLines w:val="0"/>
        <w:widowControl/>
        <w:suppressLineNumbers w:val="0"/>
        <w:spacing w:before="0" w:beforeAutospacing="0" w:after="0" w:afterAutospacing="0"/>
        <w:ind w:left="0" w:firstLine="0"/>
        <w:jc w:val="left"/>
        <w:rPr>
          <w:rFonts w:hint="default" w:ascii="Times New Roman" w:hAnsi="Times New Roman" w:cs="Times New Roman"/>
          <w:sz w:val="24"/>
          <w:szCs w:val="24"/>
          <w:u w:val="none"/>
          <w:lang w:val="en-US" w:eastAsia="zh-CN"/>
        </w:rPr>
      </w:pPr>
      <w:r>
        <w:rPr>
          <w:rFonts w:hint="default" w:ascii="Times New Roman" w:hAnsi="Times New Roman" w:eastAsia="&amp;quot" w:cs="Times New Roman"/>
          <w:i w:val="0"/>
          <w:caps w:val="0"/>
          <w:color w:val="757575"/>
          <w:spacing w:val="0"/>
          <w:sz w:val="15"/>
          <w:szCs w:val="15"/>
          <w:u w:val="none"/>
        </w:rPr>
        <w:t>This Agreement shall be governed by and construed under the laws of the State of California, without regard to principles of conflicts of law. The parties agree that any dispute regarding the interpretation or validity of this Agreement shall be subject to the exclusive jurisdiction of binding arbitration, and each party hereby agrees to submit to the personal and exclusive jurisdiction and venue of binding arbitration in the County of Los Angeles, State of California.</w:t>
      </w:r>
    </w:p>
    <w:sectPr>
      <w:headerReference r:id="rId3" w:type="default"/>
      <w:pgSz w:w="16838" w:h="11906" w:orient="landscape"/>
      <w:pgMar w:top="1800" w:right="1440" w:bottom="1800" w:left="144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amp;quo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eastAsia="zh-CN"/>
      </w:rPr>
    </w:pPr>
    <w:r>
      <w:rPr>
        <w:rFonts w:hint="eastAsia"/>
        <w:lang w:eastAsia="zh-CN"/>
      </w:rPr>
      <w:drawing>
        <wp:inline distT="0" distB="0" distL="114300" distR="114300">
          <wp:extent cx="8858885" cy="669925"/>
          <wp:effectExtent l="0" t="0" r="18415" b="15875"/>
          <wp:docPr id="2" name="Picture 2"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5"/>
                  <pic:cNvPicPr>
                    <a:picLocks noChangeAspect="1"/>
                  </pic:cNvPicPr>
                </pic:nvPicPr>
                <pic:blipFill>
                  <a:blip r:embed="rId1"/>
                  <a:stretch>
                    <a:fillRect/>
                  </a:stretch>
                </pic:blipFill>
                <pic:spPr>
                  <a:xfrm>
                    <a:off x="0" y="0"/>
                    <a:ext cx="8858885" cy="669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7C2FD"/>
    <w:multiLevelType w:val="multilevel"/>
    <w:tmpl w:val="2A17C2F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A6EDB"/>
    <w:rsid w:val="0CF64D00"/>
    <w:rsid w:val="18716AD8"/>
    <w:rsid w:val="2A5F588E"/>
    <w:rsid w:val="4159534D"/>
    <w:rsid w:val="4F3A6EDB"/>
    <w:rsid w:val="50DF75E1"/>
    <w:rsid w:val="7B951C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2019-06-27T05:10:00Z</dcterms:created>
  <dc:creator>wenjun_wei</dc:creator>
  <cp:lastModifiedBy>SQ</cp:lastModifiedBy>
  <dcterms:modified xsi:type="dcterms:W3CDTF">2019-06-27T18:05:54Z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